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41" w:rsidRPr="005A6609" w:rsidRDefault="002C6741" w:rsidP="002C6741">
      <w:pPr>
        <w:spacing w:after="0" w:line="240" w:lineRule="auto"/>
        <w:jc w:val="center"/>
        <w:rPr>
          <w:rFonts w:ascii="Yu Gothic UI" w:eastAsia="Yu Gothic UI" w:hAnsi="Yu Gothic UI" w:cs="Times New Roman"/>
          <w:sz w:val="28"/>
          <w:szCs w:val="28"/>
          <w:lang w:eastAsia="es-CL"/>
        </w:rPr>
      </w:pPr>
      <w:r w:rsidRPr="005A6609">
        <w:rPr>
          <w:rFonts w:ascii="Yu Gothic UI" w:eastAsia="Yu Gothic UI" w:hAnsi="Yu Gothic UI" w:cs="Times New Roman"/>
          <w:b/>
          <w:bCs/>
          <w:sz w:val="28"/>
          <w:szCs w:val="28"/>
          <w:lang w:eastAsia="es-CL"/>
        </w:rPr>
        <w:t>ANEXO B.1.1 Desglose de Fármacos e insumos para esterilización</w:t>
      </w:r>
    </w:p>
    <w:p w:rsidR="002C6741" w:rsidRDefault="002C6741" w:rsidP="002C6741">
      <w:pPr>
        <w:spacing w:after="0" w:line="240" w:lineRule="auto"/>
        <w:jc w:val="center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(OBLIGATORIO PARA PROYECTOS ADJUDICADOS LÍNEA B.1)</w:t>
      </w:r>
    </w:p>
    <w:p w:rsidR="002C6741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C6741" w:rsidRPr="005A6609" w:rsidRDefault="002C6741" w:rsidP="002C6741">
      <w:pPr>
        <w:spacing w:after="0" w:line="240" w:lineRule="auto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5A660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LLENAR DE ACUERDO A INDICACIONES DE NUMERAL 6.2 B DE LAS BASES</w:t>
      </w:r>
    </w:p>
    <w:p w:rsidR="002C6741" w:rsidRDefault="002C6741" w:rsidP="002C6741">
      <w:pPr>
        <w:spacing w:after="0" w:line="240" w:lineRule="auto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C6741" w:rsidRPr="005A6609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5A660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Fármacos e insumos: se podrán financiar insumos médicos y veterinarios para los procedimientos de esterilización, tales como: medicamentos, anestésicos, antiinflamatorios, analgésicos, antibióticos*, soluciones de desinfección, jeringas, guantes estériles, suturas individuales y estériles, gasas, algodón, paños de campo, bránulas, mariposas, agujas, bajadas de suero, sueros, hojas de bisturí, mascarillas, etc.</w:t>
      </w:r>
    </w:p>
    <w:p w:rsidR="002C6741" w:rsidRPr="005A6609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</w:p>
    <w:p w:rsidR="002C6741" w:rsidRPr="005A6609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5A660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 xml:space="preserve">Lo anterior, en concordancia con la Guía de Protocolos Médicos y las buenas </w:t>
      </w:r>
      <w:bookmarkStart w:id="0" w:name="_GoBack"/>
      <w:bookmarkEnd w:id="0"/>
      <w:r w:rsidRPr="005A660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prácticas de la medicina veterinaria.</w:t>
      </w:r>
    </w:p>
    <w:p w:rsidR="002C6741" w:rsidRPr="005A6609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5A660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Los antibióticos deberán ser adquiridos de manera limitada, con la finalidad de evitar su aplicación profiláctica y con ello prevenir la resistencia a los antimicrobianos (se sugiere adquirir no más de 2 frascos por proyecto).</w:t>
      </w:r>
    </w:p>
    <w:p w:rsidR="002C6741" w:rsidRPr="00CD4D79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224"/>
        <w:gridCol w:w="2136"/>
        <w:gridCol w:w="1239"/>
        <w:gridCol w:w="1471"/>
        <w:gridCol w:w="1141"/>
      </w:tblGrid>
      <w:tr w:rsidR="002C6741" w:rsidRPr="00CD4D79" w:rsidTr="0069655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>Insumos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>Características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>Valor Unitario($)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>Valor Total ($)</w:t>
            </w:r>
          </w:p>
        </w:tc>
      </w:tr>
      <w:tr w:rsidR="002C6741" w:rsidRPr="00CD4D79" w:rsidTr="00696551">
        <w:trPr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5A660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highlight w:val="cyan"/>
                <w:lang w:eastAsia="es-CL"/>
              </w:rPr>
              <w:t>EJEMPLO:</w:t>
            </w: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 Anestésico inyectable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Frasco (unidad)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Ketamina clorhidrato 111,56mg/ml, frasco de 50ml (KETAMIL)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$22.100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$22.100 </w:t>
            </w:r>
          </w:p>
        </w:tc>
      </w:tr>
      <w:tr w:rsidR="002C6741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2C6741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2C6741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2C6741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2C6741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2C6741" w:rsidRPr="00CD4D79" w:rsidTr="00696551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2C6741" w:rsidRPr="00CD4D79" w:rsidTr="00696551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IVA (19%)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$ </w:t>
            </w:r>
          </w:p>
        </w:tc>
      </w:tr>
      <w:tr w:rsidR="002C6741" w:rsidRPr="00CD4D79" w:rsidTr="00696551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Subtotal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$ </w:t>
            </w:r>
          </w:p>
        </w:tc>
      </w:tr>
      <w:tr w:rsidR="002C6741" w:rsidRPr="00CD4D79" w:rsidTr="00696551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Total General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2C6741" w:rsidRPr="00CD4D79" w:rsidRDefault="002C6741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  <w:t xml:space="preserve">$ </w:t>
            </w:r>
          </w:p>
        </w:tc>
      </w:tr>
    </w:tbl>
    <w:p w:rsidR="002C6741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sz w:val="24"/>
          <w:szCs w:val="24"/>
          <w:lang w:eastAsia="es-CL"/>
        </w:rPr>
        <w:br/>
      </w:r>
      <w:r w:rsidRPr="00CD4D79">
        <w:rPr>
          <w:rFonts w:ascii="Yu Gothic UI" w:eastAsia="Yu Gothic UI" w:hAnsi="Yu Gothic UI" w:cs="Times New Roman"/>
          <w:sz w:val="24"/>
          <w:szCs w:val="24"/>
          <w:lang w:eastAsia="es-CL"/>
        </w:rPr>
        <w:br/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Responsabilidad</w:t>
      </w:r>
    </w:p>
    <w:p w:rsidR="002C6741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C6741" w:rsidRPr="005A6609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5A660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Los insumos y fármacos a utilizar deben estar en buenas condiciones de manejo y almacenamiento, los fármacos adquiridos no deben tener una fecha de vencimiento inferior a un año de la fecha de recepción y deben ser utilizados según las indicaciones de administración o aplicación del fabricante, según especie, dosis, vía de administración y otros; lo anterior, en concordancia con la Guía de Protocolos Médicos del PTRAC.</w:t>
      </w:r>
    </w:p>
    <w:p w:rsidR="002C6741" w:rsidRPr="005A6609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</w:p>
    <w:p w:rsidR="002C6741" w:rsidRPr="005A6609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5A660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La contravención a esta obligación acarreará las responsabilidades y sanciones correspondientes. Asimismo, el incumplimiento grave de esta obligación faculta a la SUBDERE a dar término anticipado al convenio.</w:t>
      </w:r>
    </w:p>
    <w:p w:rsidR="002C6741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C6741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2C6741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Datos Médico Veterinario (encargado técnico)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:</w:t>
      </w:r>
    </w:p>
    <w:p w:rsidR="002C6741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2C6741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sz w:val="24"/>
          <w:szCs w:val="24"/>
          <w:lang w:eastAsia="es-CL"/>
        </w:rPr>
        <w:t>Nombre:</w:t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  <w:t>Firma:</w:t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</w:r>
      <w:r>
        <w:rPr>
          <w:rFonts w:ascii="Yu Gothic UI" w:eastAsia="Yu Gothic UI" w:hAnsi="Yu Gothic UI" w:cs="Times New Roman"/>
          <w:sz w:val="24"/>
          <w:szCs w:val="24"/>
          <w:lang w:eastAsia="es-CL"/>
        </w:rPr>
        <w:tab/>
        <w:t>Timbre:</w:t>
      </w:r>
    </w:p>
    <w:p w:rsidR="002C6741" w:rsidRDefault="002C6741" w:rsidP="002C6741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sz w:val="24"/>
          <w:szCs w:val="24"/>
          <w:lang w:eastAsia="es-CL"/>
        </w:rPr>
        <w:br/>
      </w:r>
    </w:p>
    <w:p w:rsidR="00267732" w:rsidRDefault="00267732"/>
    <w:sectPr w:rsidR="00267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E6" w:rsidRDefault="00596FE6" w:rsidP="00EB5B22">
      <w:pPr>
        <w:spacing w:after="0" w:line="240" w:lineRule="auto"/>
      </w:pPr>
      <w:r>
        <w:separator/>
      </w:r>
    </w:p>
  </w:endnote>
  <w:endnote w:type="continuationSeparator" w:id="0">
    <w:p w:rsidR="00596FE6" w:rsidRDefault="00596FE6" w:rsidP="00EB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E8" w:rsidRDefault="005A28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631079"/>
      <w:docPartObj>
        <w:docPartGallery w:val="Page Numbers (Bottom of Page)"/>
        <w:docPartUnique/>
      </w:docPartObj>
    </w:sdtPr>
    <w:sdtContent>
      <w:p w:rsidR="00EB5B22" w:rsidRDefault="00EB5B2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8E8" w:rsidRPr="005A28E8">
          <w:rPr>
            <w:noProof/>
            <w:lang w:val="es-ES"/>
          </w:rPr>
          <w:t>1</w:t>
        </w:r>
        <w:r>
          <w:fldChar w:fldCharType="end"/>
        </w:r>
      </w:p>
    </w:sdtContent>
  </w:sdt>
  <w:p w:rsidR="00EB5B22" w:rsidRDefault="00EB5B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E8" w:rsidRDefault="005A28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E6" w:rsidRDefault="00596FE6" w:rsidP="00EB5B22">
      <w:pPr>
        <w:spacing w:after="0" w:line="240" w:lineRule="auto"/>
      </w:pPr>
      <w:r>
        <w:separator/>
      </w:r>
    </w:p>
  </w:footnote>
  <w:footnote w:type="continuationSeparator" w:id="0">
    <w:p w:rsidR="00596FE6" w:rsidRDefault="00596FE6" w:rsidP="00EB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E8" w:rsidRDefault="005A28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E8" w:rsidRDefault="005A28E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E8" w:rsidRDefault="005A28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41"/>
    <w:rsid w:val="00267732"/>
    <w:rsid w:val="002C6741"/>
    <w:rsid w:val="00596FE6"/>
    <w:rsid w:val="005A28E8"/>
    <w:rsid w:val="00EB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B22"/>
  </w:style>
  <w:style w:type="paragraph" w:styleId="Piedepgina">
    <w:name w:val="footer"/>
    <w:basedOn w:val="Normal"/>
    <w:link w:val="PiedepginaCar"/>
    <w:uiPriority w:val="99"/>
    <w:unhideWhenUsed/>
    <w:rsid w:val="00EB5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2025-08-04T20:47:00Z</dcterms:created>
  <dcterms:modified xsi:type="dcterms:W3CDTF">2025-08-04T20:47:00Z</dcterms:modified>
</cp:coreProperties>
</file>