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0" w:firstLine="0"/>
        <w:jc w:val="center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ANEXO N.º 7: LISTA DE CHEQUEO DE DOCUMENTOS OBLIGATORIOS PARA POSTULAR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FONDOS CONCURSABLES DE LA LEY 21.020 DE TENENCIA RESPONSABLE DE MASCOTAS Y ANIMALES DE COMPAÑÍA - Uso interno por organización postulante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(Comunes a todas las líneas de postulación)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2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70"/>
        <w:gridCol w:w="775"/>
        <w:tblGridChange w:id="0">
          <w:tblGrid>
            <w:gridCol w:w="8570"/>
            <w:gridCol w:w="775"/>
          </w:tblGrid>
        </w:tblGridChange>
      </w:tblGrid>
      <w:tr>
        <w:trPr>
          <w:trHeight w:val="435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Requeridos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SÍ/NO</w:t>
            </w:r>
          </w:p>
        </w:tc>
      </w:tr>
      <w:tr>
        <w:trPr>
          <w:trHeight w:val="966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inscripción en el Registro Nacional de Personas Jurídicas sin fines de lucro, promotoras de la tenencia responsable de mascotas y animales de compañía de la SUBDERE.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inscripción en el Registro de las Personas Jurídicas receptoras de Fondos Públicos conforme dispone la Ley 19.862.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9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vigencia de personalidad jurídica y directorio con una antigüedad no superior a 90 días de su fecha de presentación.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6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antecedentes o declaración simple del representante legal que acredite no estar condenado por el delito de maltrato animal, o afectarle inhabilidad absoluta y/o perpetua de tenencia de animales.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Escaneo o fotografía de ambos lados de la cédula de identidad del representante legal que suscribirá el convenio a nombre de la persona jurídica en caso de ser adjudicada.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5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Escaneo o fotografía de ambos lados del Rol Único Tributario de la entidad que postula (se acepta RUT provisorio).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0" w:line="276.00000208074397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Declaración Jurada Simple del representante legal de la entidad concursante que señala que no posee deudas tributarias vigentes Anexo Nº4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0" w:line="276.00000208074397" w:lineRule="auto"/>
              <w:ind w:left="3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959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Declaración Jurada Simple del representante legal de la entidad concursante que señale que esta no tiene deudas laborales y previsionales, según formato adjunto Anexo Nº2.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Declaración jurada simple, según formato adjunto en el Anexo N°1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4396740</wp:posOffset>
          </wp:positionH>
          <wp:positionV relativeFrom="paragraph">
            <wp:posOffset>-447674</wp:posOffset>
          </wp:positionV>
          <wp:extent cx="1226185" cy="2095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276" l="0" r="45499" t="41378"/>
                  <a:stretch>
                    <a:fillRect/>
                  </a:stretch>
                </pic:blipFill>
                <pic:spPr>
                  <a:xfrm>
                    <a:off x="0" y="0"/>
                    <a:ext cx="1226185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182" w:lineRule="auto"/>
      <w:ind w:left="190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spacing w:line="182" w:lineRule="exact"/>
      <w:ind w:left="190"/>
      <w:outlineLvl w:val="0"/>
    </w:pPr>
    <w:rPr>
      <w:b w:val="1"/>
      <w:bCs w:val="1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C2678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2678F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 w:val="1"/>
    <w:pPr>
      <w:ind w:left="290" w:hanging="10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91C2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91C20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55A74"/>
    <w:rPr>
      <w:rFonts w:ascii="Arial" w:cs="Arial" w:eastAsia="Arial" w:hAnsi="Arial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55A74"/>
    <w:rPr>
      <w:rFonts w:ascii="Arial" w:cs="Arial" w:eastAsia="Arial" w:hAnsi="Arial"/>
      <w:lang w:bidi="es-ES"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rsid w:val="00C2678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es-ES" w:eastAsia="es-ES" w:val="es-ES"/>
    </w:rPr>
  </w:style>
  <w:style w:type="character" w:styleId="Ttulo3Car" w:customStyle="1">
    <w:name w:val="Título 3 Car"/>
    <w:basedOn w:val="Fuentedeprrafopredeter"/>
    <w:link w:val="Ttulo3"/>
    <w:uiPriority w:val="9"/>
    <w:rsid w:val="00C2678F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es-ES" w:eastAsia="es-ES"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3C54BA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sz w:val="32"/>
      <w:szCs w:val="32"/>
      <w:lang w:bidi="ar-SA" w:eastAsia="es-CL" w:val="es-CL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220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440"/>
    </w:pPr>
    <w:rPr>
      <w:rFonts w:cs="Times New Roman" w:asciiTheme="minorHAnsi" w:eastAsiaTheme="minorEastAsia" w:hAnsiTheme="minorHAnsi"/>
      <w:lang w:bidi="ar-SA" w:eastAsia="es-CL" w:val="es-C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C47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TGKTAdVMBeB7xCXYKC310tjtA==">AMUW2mUUD6y4b3xHDt9VaEXM35EcJBrEo4kyw1d5ArrNJOJxtBFspGcYQ9DZmfJAz0LZUgcgoheAZrtJ9QyldupCfmLnN7WqjmQ8nDwXJvKPOa9IIELzR9f65B0bjnaYx6pFvPehcaY+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2020-08-28T16:05:00Z</dcterms:created>
  <dc:creator>Subdere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